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CA" w:rsidRPr="0041253B" w:rsidRDefault="00C715F7" w:rsidP="00C715F7">
      <w:pPr>
        <w:jc w:val="center"/>
        <w:rPr>
          <w:rFonts w:ascii="ＭＳ ゴシック" w:eastAsia="ＭＳ ゴシック" w:hAnsi="ＭＳ ゴシック"/>
          <w:b/>
          <w:sz w:val="18"/>
        </w:rPr>
      </w:pPr>
      <w:r w:rsidRPr="0041253B">
        <w:rPr>
          <w:rFonts w:ascii="ＭＳ ゴシック" w:eastAsia="ＭＳ ゴシック" w:hAnsi="ＭＳ ゴシック" w:hint="eastAsia"/>
          <w:b/>
          <w:sz w:val="18"/>
        </w:rPr>
        <w:t>「消防長が火災予防上支障がないと認める構造を有するキュービクル式変電設備」の基準適合チェックリスト</w:t>
      </w:r>
    </w:p>
    <w:p w:rsidR="00E5542F" w:rsidRPr="00A24938" w:rsidRDefault="00C715F7" w:rsidP="00A24938">
      <w:pPr>
        <w:jc w:val="right"/>
        <w:rPr>
          <w:rFonts w:ascii="ＭＳ ゴシック" w:eastAsia="ＭＳ ゴシック" w:hAnsi="ＭＳ ゴシック"/>
          <w:sz w:val="18"/>
          <w:u w:val="wave"/>
        </w:rPr>
      </w:pPr>
      <w:r>
        <w:rPr>
          <w:rFonts w:ascii="ＭＳ ゴシック" w:eastAsia="ＭＳ ゴシック" w:hAnsi="ＭＳ ゴシック" w:hint="eastAsia"/>
          <w:sz w:val="18"/>
        </w:rPr>
        <w:t>（北九州市火災予防条例第１３条第１項第３号</w:t>
      </w:r>
      <w:r w:rsidR="00917CEB">
        <w:rPr>
          <w:rFonts w:ascii="ＭＳ ゴシック" w:eastAsia="ＭＳ ゴシック" w:hAnsi="ＭＳ ゴシック" w:hint="eastAsia"/>
          <w:sz w:val="18"/>
        </w:rPr>
        <w:t>、第２項</w:t>
      </w:r>
      <w:r>
        <w:rPr>
          <w:rFonts w:ascii="ＭＳ ゴシック" w:eastAsia="ＭＳ ゴシック" w:hAnsi="ＭＳ ゴシック" w:hint="eastAsia"/>
          <w:sz w:val="18"/>
        </w:rPr>
        <w:t>）</w:t>
      </w:r>
      <w:r w:rsidR="0041253B" w:rsidRPr="0041253B">
        <w:rPr>
          <w:rFonts w:ascii="ＭＳ ゴシック" w:eastAsia="ＭＳ ゴシック" w:hAnsi="ＭＳ ゴシック" w:hint="eastAsia"/>
          <w:sz w:val="18"/>
          <w:u w:val="wave"/>
        </w:rPr>
        <w:t>※仕様書を添付すること。</w:t>
      </w:r>
    </w:p>
    <w:tbl>
      <w:tblPr>
        <w:tblStyle w:val="a3"/>
        <w:tblW w:w="9341" w:type="dxa"/>
        <w:tblLook w:val="04A0" w:firstRow="1" w:lastRow="0" w:firstColumn="1" w:lastColumn="0" w:noHBand="0" w:noVBand="1"/>
      </w:tblPr>
      <w:tblGrid>
        <w:gridCol w:w="397"/>
        <w:gridCol w:w="486"/>
        <w:gridCol w:w="496"/>
        <w:gridCol w:w="2423"/>
        <w:gridCol w:w="1241"/>
        <w:gridCol w:w="3022"/>
        <w:gridCol w:w="425"/>
        <w:gridCol w:w="851"/>
      </w:tblGrid>
      <w:tr w:rsidR="00AF6CD4" w:rsidTr="007746DF">
        <w:trPr>
          <w:trHeight w:val="552"/>
        </w:trPr>
        <w:tc>
          <w:tcPr>
            <w:tcW w:w="1379" w:type="dxa"/>
            <w:gridSpan w:val="3"/>
            <w:tcBorders>
              <w:top w:val="single" w:sz="12" w:space="0" w:color="auto"/>
              <w:left w:val="single" w:sz="12" w:space="0" w:color="auto"/>
              <w:bottom w:val="single" w:sz="12" w:space="0" w:color="auto"/>
              <w:right w:val="single" w:sz="4"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設置者氏名</w:t>
            </w:r>
          </w:p>
        </w:tc>
        <w:tc>
          <w:tcPr>
            <w:tcW w:w="2423" w:type="dxa"/>
            <w:tcBorders>
              <w:top w:val="single" w:sz="12" w:space="0" w:color="auto"/>
              <w:left w:val="single" w:sz="4"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1241" w:type="dxa"/>
            <w:tcBorders>
              <w:top w:val="single" w:sz="12" w:space="0" w:color="auto"/>
              <w:left w:val="single" w:sz="4" w:space="0" w:color="auto"/>
              <w:bottom w:val="single" w:sz="12" w:space="0" w:color="auto"/>
              <w:right w:val="single" w:sz="4"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確認年月日</w:t>
            </w:r>
          </w:p>
        </w:tc>
        <w:tc>
          <w:tcPr>
            <w:tcW w:w="3022" w:type="dxa"/>
            <w:tcBorders>
              <w:top w:val="single" w:sz="12" w:space="0" w:color="auto"/>
              <w:left w:val="single" w:sz="4"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425" w:type="dxa"/>
            <w:tcBorders>
              <w:top w:val="single" w:sz="12" w:space="0" w:color="auto"/>
              <w:left w:val="single" w:sz="4" w:space="0" w:color="auto"/>
              <w:bottom w:val="single" w:sz="12" w:space="0" w:color="auto"/>
              <w:right w:val="single" w:sz="4"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適否</w:t>
            </w:r>
          </w:p>
        </w:tc>
        <w:tc>
          <w:tcPr>
            <w:tcW w:w="851" w:type="dxa"/>
            <w:tcBorders>
              <w:top w:val="single" w:sz="12" w:space="0" w:color="auto"/>
              <w:left w:val="single" w:sz="4" w:space="0" w:color="auto"/>
              <w:bottom w:val="single" w:sz="12" w:space="0" w:color="auto"/>
              <w:righ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仕様書</w:t>
            </w:r>
          </w:p>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頁数</w:t>
            </w:r>
          </w:p>
        </w:tc>
      </w:tr>
      <w:tr w:rsidR="00AF6CD4" w:rsidTr="007746DF">
        <w:tc>
          <w:tcPr>
            <w:tcW w:w="397" w:type="dxa"/>
            <w:tcBorders>
              <w:top w:val="single" w:sz="12" w:space="0" w:color="auto"/>
              <w:left w:val="single" w:sz="12" w:space="0" w:color="auto"/>
              <w:bottom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w:t>
            </w:r>
          </w:p>
        </w:tc>
        <w:tc>
          <w:tcPr>
            <w:tcW w:w="7668" w:type="dxa"/>
            <w:gridSpan w:val="5"/>
            <w:tcBorders>
              <w:top w:val="single" w:sz="12"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r w:rsidRPr="0041253B">
              <w:rPr>
                <w:rFonts w:ascii="ＭＳ ゴシック" w:eastAsia="ＭＳ ゴシック" w:hAnsi="ＭＳ ゴシック" w:hint="eastAsia"/>
                <w:sz w:val="18"/>
              </w:rPr>
              <w:t>キュービクル式変電設備</w:t>
            </w:r>
            <w:r>
              <w:rPr>
                <w:rFonts w:ascii="ＭＳ ゴシック" w:eastAsia="ＭＳ ゴシック" w:hAnsi="ＭＳ ゴシック" w:hint="eastAsia"/>
                <w:sz w:val="18"/>
              </w:rPr>
              <w:t>とは、変電設備その他の機器及び配線を一の箱（以下</w:t>
            </w:r>
            <w:r w:rsidRPr="0041253B">
              <w:rPr>
                <w:rFonts w:ascii="ＭＳ ゴシック" w:eastAsia="ＭＳ ゴシック" w:hAnsi="ＭＳ ゴシック"/>
                <w:sz w:val="18"/>
              </w:rPr>
              <w:t>「外箱」という。）に収納したものをいうものであること。</w:t>
            </w:r>
          </w:p>
        </w:tc>
        <w:tc>
          <w:tcPr>
            <w:tcW w:w="425" w:type="dxa"/>
            <w:tcBorders>
              <w:top w:val="single" w:sz="12" w:space="0" w:color="auto"/>
              <w:left w:val="single" w:sz="4"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c>
          <w:tcPr>
            <w:tcW w:w="397" w:type="dxa"/>
            <w:tcBorders>
              <w:top w:val="single" w:sz="12" w:space="0" w:color="auto"/>
              <w:left w:val="single" w:sz="12" w:space="0" w:color="auto"/>
              <w:bottom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2</w:t>
            </w:r>
          </w:p>
        </w:tc>
        <w:tc>
          <w:tcPr>
            <w:tcW w:w="7668" w:type="dxa"/>
            <w:gridSpan w:val="5"/>
            <w:tcBorders>
              <w:top w:val="single" w:sz="12" w:space="0" w:color="auto"/>
              <w:bottom w:val="single" w:sz="12" w:space="0" w:color="auto"/>
              <w:right w:val="single" w:sz="4" w:space="0" w:color="auto"/>
            </w:tcBorders>
          </w:tcPr>
          <w:p w:rsidR="00AF6CD4" w:rsidRDefault="00AF6CD4" w:rsidP="00E751BA">
            <w:pPr>
              <w:spacing w:line="320" w:lineRule="exact"/>
              <w:rPr>
                <w:rFonts w:ascii="ＭＳ ゴシック" w:eastAsia="ＭＳ ゴシック" w:hAnsi="ＭＳ ゴシック"/>
                <w:sz w:val="18"/>
              </w:rPr>
            </w:pPr>
            <w:r w:rsidRPr="0041253B">
              <w:rPr>
                <w:rFonts w:ascii="ＭＳ ゴシック" w:eastAsia="ＭＳ ゴシック" w:hAnsi="ＭＳ ゴシック" w:hint="eastAsia"/>
                <w:sz w:val="18"/>
              </w:rPr>
              <w:t>キュービクル式変電設備の外箱の材料は、鋼板又はこれと同等以上の防火性能を有するものとし、その板厚は、</w:t>
            </w:r>
            <w:r w:rsidRPr="0041253B">
              <w:rPr>
                <w:rFonts w:ascii="ＭＳ ゴシック" w:eastAsia="ＭＳ ゴシック" w:hAnsi="ＭＳ ゴシック"/>
                <w:sz w:val="18"/>
              </w:rPr>
              <w:t>1.6</w:t>
            </w:r>
            <w:r>
              <w:rPr>
                <w:rFonts w:ascii="ＭＳ ゴシック" w:eastAsia="ＭＳ ゴシック" w:hAnsi="ＭＳ ゴシック" w:hint="eastAsia"/>
                <w:sz w:val="18"/>
              </w:rPr>
              <w:t>㎜</w:t>
            </w:r>
            <w:r w:rsidRPr="0041253B">
              <w:rPr>
                <w:rFonts w:ascii="ＭＳ ゴシック" w:eastAsia="ＭＳ ゴシック" w:hAnsi="ＭＳ ゴシック"/>
                <w:sz w:val="18"/>
              </w:rPr>
              <w:t>（屋外用のものは、2.3</w:t>
            </w:r>
            <w:r>
              <w:rPr>
                <w:rFonts w:ascii="ＭＳ ゴシック" w:eastAsia="ＭＳ ゴシック" w:hAnsi="ＭＳ ゴシック" w:hint="eastAsia"/>
                <w:sz w:val="18"/>
              </w:rPr>
              <w:t>㎜</w:t>
            </w:r>
            <w:r w:rsidRPr="0041253B">
              <w:rPr>
                <w:rFonts w:ascii="ＭＳ ゴシック" w:eastAsia="ＭＳ ゴシック" w:hAnsi="ＭＳ ゴシック"/>
                <w:sz w:val="18"/>
              </w:rPr>
              <w:t>）以上とすること。ただし、コンクリート造又はこれと同等以上の防火性能を有する床に設けるものの床面部分については、この限りでない。</w:t>
            </w:r>
          </w:p>
        </w:tc>
        <w:tc>
          <w:tcPr>
            <w:tcW w:w="425" w:type="dxa"/>
            <w:tcBorders>
              <w:top w:val="single" w:sz="12" w:space="0" w:color="auto"/>
              <w:left w:val="single" w:sz="4"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c>
          <w:tcPr>
            <w:tcW w:w="397" w:type="dxa"/>
            <w:tcBorders>
              <w:top w:val="single" w:sz="12" w:space="0" w:color="auto"/>
              <w:left w:val="single" w:sz="12" w:space="0" w:color="auto"/>
              <w:bottom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3</w:t>
            </w:r>
          </w:p>
        </w:tc>
        <w:tc>
          <w:tcPr>
            <w:tcW w:w="7668" w:type="dxa"/>
            <w:gridSpan w:val="5"/>
            <w:tcBorders>
              <w:top w:val="single" w:sz="12"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r w:rsidRPr="0041253B">
              <w:rPr>
                <w:rFonts w:ascii="ＭＳ ゴシック" w:eastAsia="ＭＳ ゴシック" w:hAnsi="ＭＳ ゴシック" w:hint="eastAsia"/>
                <w:sz w:val="18"/>
              </w:rPr>
              <w:t>外箱の開口部（換気口又は換気設備の部分を除く。）には、防火戸を設けるものとし、網入りガラス入りの防火戸にあっては、当該網入りガラスを不燃材料で固定したものであること。</w:t>
            </w:r>
          </w:p>
        </w:tc>
        <w:tc>
          <w:tcPr>
            <w:tcW w:w="425" w:type="dxa"/>
            <w:tcBorders>
              <w:top w:val="single" w:sz="12" w:space="0" w:color="auto"/>
              <w:left w:val="single" w:sz="4"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c>
          <w:tcPr>
            <w:tcW w:w="397" w:type="dxa"/>
            <w:tcBorders>
              <w:top w:val="single" w:sz="12" w:space="0" w:color="auto"/>
              <w:left w:val="single" w:sz="12" w:space="0" w:color="auto"/>
              <w:bottom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4</w:t>
            </w:r>
          </w:p>
        </w:tc>
        <w:tc>
          <w:tcPr>
            <w:tcW w:w="7668" w:type="dxa"/>
            <w:gridSpan w:val="5"/>
            <w:tcBorders>
              <w:top w:val="single" w:sz="12" w:space="0" w:color="auto"/>
              <w:bottom w:val="single" w:sz="12" w:space="0" w:color="auto"/>
              <w:right w:val="single" w:sz="4" w:space="0" w:color="auto"/>
            </w:tcBorders>
          </w:tcPr>
          <w:p w:rsidR="00AF6CD4" w:rsidRPr="0041253B" w:rsidRDefault="00AF6CD4" w:rsidP="00075B6D">
            <w:pPr>
              <w:spacing w:line="320" w:lineRule="exact"/>
              <w:rPr>
                <w:rFonts w:ascii="ＭＳ ゴシック" w:eastAsia="ＭＳ ゴシック" w:hAnsi="ＭＳ ゴシック"/>
                <w:sz w:val="18"/>
              </w:rPr>
            </w:pPr>
            <w:r w:rsidRPr="0041253B">
              <w:rPr>
                <w:rFonts w:ascii="ＭＳ ゴシック" w:eastAsia="ＭＳ ゴシック" w:hAnsi="ＭＳ ゴシック" w:hint="eastAsia"/>
                <w:sz w:val="18"/>
              </w:rPr>
              <w:t>外箱は、床に容易に、かつ、堅固に固定できる構造のものであること。</w:t>
            </w:r>
          </w:p>
        </w:tc>
        <w:tc>
          <w:tcPr>
            <w:tcW w:w="425" w:type="dxa"/>
            <w:tcBorders>
              <w:top w:val="single" w:sz="12" w:space="0" w:color="auto"/>
              <w:left w:val="single" w:sz="4"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c>
          <w:tcPr>
            <w:tcW w:w="397" w:type="dxa"/>
            <w:tcBorders>
              <w:top w:val="single" w:sz="12" w:space="0" w:color="auto"/>
              <w:left w:val="single" w:sz="12" w:space="0" w:color="auto"/>
              <w:bottom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5</w:t>
            </w:r>
          </w:p>
        </w:tc>
        <w:tc>
          <w:tcPr>
            <w:tcW w:w="7668" w:type="dxa"/>
            <w:gridSpan w:val="5"/>
            <w:tcBorders>
              <w:top w:val="single" w:sz="12" w:space="0" w:color="auto"/>
              <w:bottom w:val="single" w:sz="12" w:space="0" w:color="auto"/>
              <w:right w:val="single" w:sz="4" w:space="0" w:color="auto"/>
            </w:tcBorders>
          </w:tcPr>
          <w:p w:rsidR="00AF6CD4" w:rsidRPr="0041253B" w:rsidRDefault="00AF6CD4" w:rsidP="00075B6D">
            <w:pPr>
              <w:spacing w:line="320" w:lineRule="exact"/>
              <w:rPr>
                <w:rFonts w:ascii="ＭＳ ゴシック" w:eastAsia="ＭＳ ゴシック" w:hAnsi="ＭＳ ゴシック"/>
                <w:sz w:val="18"/>
              </w:rPr>
            </w:pPr>
            <w:r w:rsidRPr="0041253B">
              <w:rPr>
                <w:rFonts w:ascii="ＭＳ ゴシック" w:eastAsia="ＭＳ ゴシック" w:hAnsi="ＭＳ ゴシック" w:hint="eastAsia"/>
                <w:sz w:val="18"/>
              </w:rPr>
              <w:t>電力需給用変成器、受電用遮断器、開閉器等の機器が外箱の底面から</w:t>
            </w:r>
            <w:r>
              <w:rPr>
                <w:rFonts w:ascii="ＭＳ ゴシック" w:eastAsia="ＭＳ ゴシック" w:hAnsi="ＭＳ ゴシック"/>
                <w:sz w:val="18"/>
              </w:rPr>
              <w:t>10</w:t>
            </w:r>
            <w:r>
              <w:rPr>
                <w:rFonts w:ascii="ＭＳ ゴシック" w:eastAsia="ＭＳ ゴシック" w:hAnsi="ＭＳ ゴシック" w:hint="eastAsia"/>
                <w:sz w:val="18"/>
              </w:rPr>
              <w:t>cm</w:t>
            </w:r>
            <w:r w:rsidRPr="0041253B">
              <w:rPr>
                <w:rFonts w:ascii="ＭＳ ゴシック" w:eastAsia="ＭＳ ゴシック" w:hAnsi="ＭＳ ゴシック"/>
                <w:sz w:val="18"/>
              </w:rPr>
              <w:t>以上離して収納できるものとすること。ただし、これと同等以上の防水措置を講じたものにあっては、この限りでない。</w:t>
            </w:r>
          </w:p>
        </w:tc>
        <w:tc>
          <w:tcPr>
            <w:tcW w:w="425" w:type="dxa"/>
            <w:tcBorders>
              <w:top w:val="single" w:sz="12" w:space="0" w:color="auto"/>
              <w:left w:val="single" w:sz="4"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549"/>
        </w:trPr>
        <w:tc>
          <w:tcPr>
            <w:tcW w:w="397" w:type="dxa"/>
            <w:vMerge w:val="restart"/>
            <w:tcBorders>
              <w:top w:val="single" w:sz="12" w:space="0" w:color="auto"/>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6</w:t>
            </w:r>
          </w:p>
        </w:tc>
        <w:tc>
          <w:tcPr>
            <w:tcW w:w="7668" w:type="dxa"/>
            <w:gridSpan w:val="5"/>
            <w:tcBorders>
              <w:top w:val="single" w:sz="12" w:space="0" w:color="auto"/>
              <w:right w:val="single" w:sz="4" w:space="0" w:color="auto"/>
            </w:tcBorders>
          </w:tcPr>
          <w:p w:rsidR="00AF6CD4" w:rsidRPr="0041253B" w:rsidRDefault="00AF6CD4" w:rsidP="00075B6D">
            <w:pPr>
              <w:spacing w:line="320" w:lineRule="exact"/>
              <w:rPr>
                <w:rFonts w:ascii="ＭＳ ゴシック" w:eastAsia="ＭＳ ゴシック" w:hAnsi="ＭＳ ゴシック"/>
                <w:sz w:val="18"/>
              </w:rPr>
            </w:pPr>
            <w:r w:rsidRPr="0041253B">
              <w:rPr>
                <w:rFonts w:ascii="ＭＳ ゴシック" w:eastAsia="ＭＳ ゴシック" w:hAnsi="ＭＳ ゴシック" w:hint="eastAsia"/>
                <w:sz w:val="18"/>
              </w:rPr>
              <w:t>外箱には、次に掲げるもの（屋外に設けるキュービクル式変電設備にあっては、雨水等の浸入防止措置が講じられているものに限る。）以外のものを外部に露出して設けないこと。</w:t>
            </w:r>
          </w:p>
        </w:tc>
        <w:tc>
          <w:tcPr>
            <w:tcW w:w="425" w:type="dxa"/>
            <w:tcBorders>
              <w:top w:val="single" w:sz="12" w:space="0" w:color="auto"/>
              <w:left w:val="single" w:sz="4" w:space="0" w:color="auto"/>
              <w:bottom w:val="single" w:sz="4"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258"/>
        </w:trPr>
        <w:tc>
          <w:tcPr>
            <w:tcW w:w="397" w:type="dxa"/>
            <w:vMerge/>
            <w:tcBorders>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Pr>
          <w:p w:rsidR="00AF6CD4" w:rsidRPr="0041253B"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c>
        <w:tc>
          <w:tcPr>
            <w:tcW w:w="7182" w:type="dxa"/>
            <w:gridSpan w:val="4"/>
            <w:tcBorders>
              <w:right w:val="single" w:sz="4" w:space="0" w:color="auto"/>
            </w:tcBorders>
          </w:tcPr>
          <w:p w:rsidR="00AF6CD4" w:rsidRPr="0041253B" w:rsidRDefault="00AF6CD4" w:rsidP="00917CEB">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各種表示灯（カバーを難燃材料</w:t>
            </w:r>
            <w:r>
              <w:rPr>
                <w:rFonts w:ascii="ＭＳ ゴシック" w:eastAsia="ＭＳ ゴシック" w:hAnsi="ＭＳ ゴシック" w:hint="eastAsia"/>
                <w:sz w:val="18"/>
              </w:rPr>
              <w:t>以上</w:t>
            </w:r>
            <w:r w:rsidRPr="000F7BEA">
              <w:rPr>
                <w:rFonts w:ascii="ＭＳ ゴシック" w:eastAsia="ＭＳ ゴシック" w:hAnsi="ＭＳ ゴシック" w:hint="eastAsia"/>
                <w:sz w:val="18"/>
              </w:rPr>
              <w:t>の</w:t>
            </w:r>
            <w:r>
              <w:rPr>
                <w:rFonts w:ascii="ＭＳ ゴシック" w:eastAsia="ＭＳ ゴシック" w:hAnsi="ＭＳ ゴシック" w:hint="eastAsia"/>
                <w:sz w:val="18"/>
              </w:rPr>
              <w:t>防火性能を有する</w:t>
            </w:r>
            <w:r w:rsidRPr="000F7BEA">
              <w:rPr>
                <w:rFonts w:ascii="ＭＳ ゴシック" w:eastAsia="ＭＳ ゴシック" w:hAnsi="ＭＳ ゴシック" w:hint="eastAsia"/>
                <w:sz w:val="18"/>
              </w:rPr>
              <w:t>材料としたものに限る。）</w:t>
            </w:r>
          </w:p>
        </w:tc>
        <w:tc>
          <w:tcPr>
            <w:tcW w:w="425" w:type="dxa"/>
            <w:tcBorders>
              <w:top w:val="single" w:sz="4" w:space="0" w:color="auto"/>
              <w:left w:val="single" w:sz="4"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4" w:space="0" w:color="auto"/>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285"/>
        </w:trPr>
        <w:tc>
          <w:tcPr>
            <w:tcW w:w="397" w:type="dxa"/>
            <w:vMerge/>
            <w:tcBorders>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Pr>
          <w:p w:rsidR="00AF6CD4"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c>
        <w:tc>
          <w:tcPr>
            <w:tcW w:w="7182" w:type="dxa"/>
            <w:gridSpan w:val="4"/>
            <w:tcBorders>
              <w:right w:val="single" w:sz="4" w:space="0" w:color="auto"/>
            </w:tcBorders>
          </w:tcPr>
          <w:p w:rsidR="00AF6CD4" w:rsidRDefault="00AF6CD4" w:rsidP="00075B6D">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金属製のカバーを取り付けた配線用遮断器</w:t>
            </w:r>
          </w:p>
        </w:tc>
        <w:tc>
          <w:tcPr>
            <w:tcW w:w="425" w:type="dxa"/>
            <w:tcBorders>
              <w:left w:val="single" w:sz="4"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285"/>
        </w:trPr>
        <w:tc>
          <w:tcPr>
            <w:tcW w:w="397" w:type="dxa"/>
            <w:vMerge/>
            <w:tcBorders>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Pr>
          <w:p w:rsidR="00AF6CD4"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c>
        <w:tc>
          <w:tcPr>
            <w:tcW w:w="7182" w:type="dxa"/>
            <w:gridSpan w:val="4"/>
            <w:tcBorders>
              <w:right w:val="single" w:sz="4" w:space="0" w:color="auto"/>
            </w:tcBorders>
          </w:tcPr>
          <w:p w:rsidR="00AF6CD4" w:rsidRDefault="00AF6CD4" w:rsidP="00075B6D">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ヒューズ等に保護された電圧計</w:t>
            </w:r>
          </w:p>
        </w:tc>
        <w:tc>
          <w:tcPr>
            <w:tcW w:w="425" w:type="dxa"/>
            <w:tcBorders>
              <w:left w:val="single" w:sz="4"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281"/>
        </w:trPr>
        <w:tc>
          <w:tcPr>
            <w:tcW w:w="397" w:type="dxa"/>
            <w:vMerge/>
            <w:tcBorders>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Pr>
          <w:p w:rsidR="00AF6CD4"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c>
          <w:tcPr>
            <w:tcW w:w="7182" w:type="dxa"/>
            <w:gridSpan w:val="4"/>
            <w:tcBorders>
              <w:right w:val="single" w:sz="4" w:space="0" w:color="auto"/>
            </w:tcBorders>
          </w:tcPr>
          <w:p w:rsidR="00AF6CD4" w:rsidRDefault="00AF6CD4" w:rsidP="00075B6D">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計器用変成器を介した電流計</w:t>
            </w:r>
          </w:p>
        </w:tc>
        <w:tc>
          <w:tcPr>
            <w:tcW w:w="425" w:type="dxa"/>
            <w:tcBorders>
              <w:left w:val="single" w:sz="4"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64"/>
        </w:trPr>
        <w:tc>
          <w:tcPr>
            <w:tcW w:w="397" w:type="dxa"/>
            <w:vMerge/>
            <w:tcBorders>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Pr>
          <w:p w:rsidR="00AF6CD4"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c>
        <w:tc>
          <w:tcPr>
            <w:tcW w:w="7182" w:type="dxa"/>
            <w:gridSpan w:val="4"/>
            <w:tcBorders>
              <w:right w:val="single" w:sz="4" w:space="0" w:color="auto"/>
            </w:tcBorders>
          </w:tcPr>
          <w:p w:rsidR="00AF6CD4" w:rsidRDefault="00AF6CD4" w:rsidP="00D3136C">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切替スイッチ等のスイッチ類（難燃材料以上の防火性能を有する材料によるものに</w:t>
            </w:r>
            <w:r w:rsidRPr="000F7BEA">
              <w:rPr>
                <w:rFonts w:ascii="ＭＳ ゴシック" w:eastAsia="ＭＳ ゴシック" w:hAnsi="ＭＳ ゴシック" w:hint="eastAsia"/>
                <w:sz w:val="18"/>
              </w:rPr>
              <w:t>限る。）</w:t>
            </w:r>
          </w:p>
        </w:tc>
        <w:tc>
          <w:tcPr>
            <w:tcW w:w="425" w:type="dxa"/>
            <w:tcBorders>
              <w:left w:val="single" w:sz="4"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271"/>
        </w:trPr>
        <w:tc>
          <w:tcPr>
            <w:tcW w:w="397" w:type="dxa"/>
            <w:vMerge/>
            <w:tcBorders>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Pr>
          <w:p w:rsidR="00AF6CD4"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c>
        <w:tc>
          <w:tcPr>
            <w:tcW w:w="7182" w:type="dxa"/>
            <w:gridSpan w:val="4"/>
            <w:tcBorders>
              <w:right w:val="single" w:sz="4" w:space="0" w:color="auto"/>
            </w:tcBorders>
          </w:tcPr>
          <w:p w:rsidR="00AF6CD4" w:rsidRDefault="00AF6CD4" w:rsidP="00075B6D">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配線の引込み口及び引出し口</w:t>
            </w:r>
          </w:p>
        </w:tc>
        <w:tc>
          <w:tcPr>
            <w:tcW w:w="425" w:type="dxa"/>
            <w:tcBorders>
              <w:left w:val="single" w:sz="4"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212"/>
        </w:trPr>
        <w:tc>
          <w:tcPr>
            <w:tcW w:w="397" w:type="dxa"/>
            <w:vMerge/>
            <w:tcBorders>
              <w:left w:val="single" w:sz="12" w:space="0" w:color="auto"/>
              <w:bottom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Borders>
              <w:bottom w:val="single" w:sz="12" w:space="0" w:color="auto"/>
            </w:tcBorders>
          </w:tcPr>
          <w:p w:rsidR="00AF6CD4"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p>
        </w:tc>
        <w:tc>
          <w:tcPr>
            <w:tcW w:w="7182" w:type="dxa"/>
            <w:gridSpan w:val="4"/>
            <w:tcBorders>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9</w:t>
            </w:r>
            <w:r w:rsidRPr="000F7BEA">
              <w:rPr>
                <w:rFonts w:ascii="ＭＳ ゴシック" w:eastAsia="ＭＳ ゴシック" w:hAnsi="ＭＳ ゴシック" w:hint="eastAsia"/>
                <w:sz w:val="18"/>
              </w:rPr>
              <w:t>に規定する換気口及び換気装置</w:t>
            </w:r>
          </w:p>
        </w:tc>
        <w:tc>
          <w:tcPr>
            <w:tcW w:w="425" w:type="dxa"/>
            <w:tcBorders>
              <w:left w:val="single" w:sz="4" w:space="0" w:color="auto"/>
              <w:bottom w:val="single" w:sz="12"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left w:val="single" w:sz="4" w:space="0" w:color="auto"/>
              <w:bottom w:val="single" w:sz="12"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c>
          <w:tcPr>
            <w:tcW w:w="397" w:type="dxa"/>
            <w:tcBorders>
              <w:top w:val="single" w:sz="12" w:space="0" w:color="auto"/>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7</w:t>
            </w:r>
          </w:p>
        </w:tc>
        <w:tc>
          <w:tcPr>
            <w:tcW w:w="7668" w:type="dxa"/>
            <w:gridSpan w:val="5"/>
            <w:tcBorders>
              <w:top w:val="single" w:sz="12" w:space="0" w:color="auto"/>
              <w:right w:val="single" w:sz="4" w:space="0" w:color="auto"/>
            </w:tcBorders>
          </w:tcPr>
          <w:p w:rsidR="00AF6CD4" w:rsidRPr="0041253B" w:rsidRDefault="00AF6CD4" w:rsidP="00075B6D">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電力需給用変成器、受電用遮断器、変圧器等の機器は、外箱又は配電盤等に堅固に固定すること。</w:t>
            </w:r>
          </w:p>
        </w:tc>
        <w:tc>
          <w:tcPr>
            <w:tcW w:w="425" w:type="dxa"/>
            <w:tcBorders>
              <w:top w:val="single" w:sz="12" w:space="0" w:color="auto"/>
              <w:left w:val="single" w:sz="4"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c>
          <w:tcPr>
            <w:tcW w:w="397" w:type="dxa"/>
            <w:tcBorders>
              <w:top w:val="single" w:sz="12" w:space="0" w:color="auto"/>
              <w:left w:val="single" w:sz="12" w:space="0" w:color="auto"/>
              <w:bottom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8</w:t>
            </w:r>
          </w:p>
        </w:tc>
        <w:tc>
          <w:tcPr>
            <w:tcW w:w="7668" w:type="dxa"/>
            <w:gridSpan w:val="5"/>
            <w:tcBorders>
              <w:top w:val="single" w:sz="12" w:space="0" w:color="auto"/>
              <w:bottom w:val="single" w:sz="12" w:space="0" w:color="auto"/>
              <w:right w:val="single" w:sz="4" w:space="0" w:color="auto"/>
            </w:tcBorders>
          </w:tcPr>
          <w:p w:rsidR="00AF6CD4" w:rsidRPr="0041253B" w:rsidRDefault="00AF6CD4" w:rsidP="00075B6D">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配線をキュービクルから引き出すための電線引出し</w:t>
            </w:r>
            <w:r w:rsidRPr="000F7BEA">
              <w:rPr>
                <w:rFonts w:ascii="ＭＳ ゴシック" w:eastAsia="ＭＳ ゴシック" w:hAnsi="ＭＳ ゴシック"/>
                <w:sz w:val="18"/>
              </w:rPr>
              <w:t>口は、金属管又は金属製可とう電線管を容易に接続できるものであること。</w:t>
            </w:r>
          </w:p>
        </w:tc>
        <w:tc>
          <w:tcPr>
            <w:tcW w:w="425" w:type="dxa"/>
            <w:tcBorders>
              <w:top w:val="single" w:sz="12" w:space="0" w:color="auto"/>
              <w:left w:val="single" w:sz="4"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257"/>
        </w:trPr>
        <w:tc>
          <w:tcPr>
            <w:tcW w:w="397" w:type="dxa"/>
            <w:vMerge w:val="restart"/>
            <w:tcBorders>
              <w:top w:val="single" w:sz="12" w:space="0" w:color="auto"/>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9</w:t>
            </w:r>
          </w:p>
        </w:tc>
        <w:tc>
          <w:tcPr>
            <w:tcW w:w="7668" w:type="dxa"/>
            <w:gridSpan w:val="5"/>
            <w:tcBorders>
              <w:top w:val="single" w:sz="12" w:space="0" w:color="auto"/>
              <w:right w:val="single" w:sz="4" w:space="0" w:color="auto"/>
            </w:tcBorders>
          </w:tcPr>
          <w:p w:rsidR="00AF6CD4" w:rsidRPr="0041253B" w:rsidRDefault="00AF6CD4" w:rsidP="00075B6D">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キュービクルには、次に掲げる条件に適合する換気装置を設けること。</w:t>
            </w:r>
          </w:p>
        </w:tc>
        <w:tc>
          <w:tcPr>
            <w:tcW w:w="425" w:type="dxa"/>
            <w:tcBorders>
              <w:top w:val="single" w:sz="12" w:space="0" w:color="auto"/>
              <w:left w:val="single" w:sz="4" w:space="0" w:color="auto"/>
              <w:bottom w:val="single" w:sz="4"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300"/>
        </w:trPr>
        <w:tc>
          <w:tcPr>
            <w:tcW w:w="397" w:type="dxa"/>
            <w:vMerge/>
            <w:tcBorders>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Pr>
          <w:p w:rsidR="00AF6CD4" w:rsidRPr="000F7BEA"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c>
        <w:tc>
          <w:tcPr>
            <w:tcW w:w="7182" w:type="dxa"/>
            <w:gridSpan w:val="4"/>
            <w:tcBorders>
              <w:right w:val="single" w:sz="4" w:space="0" w:color="auto"/>
            </w:tcBorders>
          </w:tcPr>
          <w:p w:rsidR="00AF6CD4" w:rsidRPr="000F7BEA" w:rsidRDefault="00AF6CD4" w:rsidP="00075B6D">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換気装置は、外箱の内部が著しく高温にならないよう空気の流通が十分に行えるものであること。</w:t>
            </w:r>
          </w:p>
        </w:tc>
        <w:tc>
          <w:tcPr>
            <w:tcW w:w="425" w:type="dxa"/>
            <w:tcBorders>
              <w:top w:val="single" w:sz="4" w:space="0" w:color="auto"/>
              <w:left w:val="single" w:sz="4" w:space="0" w:color="auto"/>
              <w:right w:val="single" w:sz="4" w:space="0" w:color="auto"/>
              <w:tl2br w:val="single" w:sz="4" w:space="0" w:color="auto"/>
            </w:tcBorders>
          </w:tcPr>
          <w:p w:rsidR="00AF6CD4" w:rsidRPr="006A2FF6" w:rsidRDefault="00AF6CD4" w:rsidP="00075B6D">
            <w:pPr>
              <w:spacing w:line="320" w:lineRule="exact"/>
              <w:rPr>
                <w:rFonts w:ascii="ＭＳ ゴシック" w:eastAsia="ＭＳ ゴシック" w:hAnsi="ＭＳ ゴシック"/>
                <w:sz w:val="18"/>
              </w:rPr>
            </w:pPr>
          </w:p>
        </w:tc>
        <w:tc>
          <w:tcPr>
            <w:tcW w:w="851" w:type="dxa"/>
            <w:tcBorders>
              <w:top w:val="single" w:sz="4" w:space="0" w:color="auto"/>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323"/>
        </w:trPr>
        <w:tc>
          <w:tcPr>
            <w:tcW w:w="397" w:type="dxa"/>
            <w:vMerge/>
            <w:tcBorders>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Pr>
          <w:p w:rsidR="00AF6CD4" w:rsidRPr="000F7BEA"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c>
        <w:tc>
          <w:tcPr>
            <w:tcW w:w="7182" w:type="dxa"/>
            <w:gridSpan w:val="4"/>
            <w:tcBorders>
              <w:right w:val="single" w:sz="4" w:space="0" w:color="auto"/>
            </w:tcBorders>
          </w:tcPr>
          <w:p w:rsidR="00AF6CD4" w:rsidRPr="000F7BEA" w:rsidRDefault="00AF6CD4" w:rsidP="00E751BA">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自然換気口の開口部の面積の合計は、外箱の一</w:t>
            </w:r>
            <w:r w:rsidRPr="000F7BEA">
              <w:rPr>
                <w:rFonts w:ascii="ＭＳ ゴシック" w:eastAsia="ＭＳ ゴシック" w:hAnsi="ＭＳ ゴシック" w:hint="eastAsia"/>
                <w:sz w:val="18"/>
              </w:rPr>
              <w:t>の面について、当該面の面積の</w:t>
            </w:r>
            <w:r>
              <w:rPr>
                <w:rFonts w:ascii="ＭＳ ゴシック" w:eastAsia="ＭＳ ゴシック" w:hAnsi="ＭＳ ゴシック" w:hint="eastAsia"/>
                <w:sz w:val="18"/>
              </w:rPr>
              <w:t>1/3</w:t>
            </w:r>
            <w:r w:rsidRPr="000F7BEA">
              <w:rPr>
                <w:rFonts w:ascii="ＭＳ ゴシック" w:eastAsia="ＭＳ ゴシック" w:hAnsi="ＭＳ ゴシック" w:hint="eastAsia"/>
                <w:sz w:val="18"/>
              </w:rPr>
              <w:t>以下であること。</w:t>
            </w:r>
          </w:p>
        </w:tc>
        <w:tc>
          <w:tcPr>
            <w:tcW w:w="425" w:type="dxa"/>
            <w:tcBorders>
              <w:left w:val="single" w:sz="4"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276"/>
        </w:trPr>
        <w:tc>
          <w:tcPr>
            <w:tcW w:w="397" w:type="dxa"/>
            <w:vMerge/>
            <w:tcBorders>
              <w:left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Pr>
          <w:p w:rsidR="00AF6CD4" w:rsidRPr="000F7BEA"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c>
        <w:tc>
          <w:tcPr>
            <w:tcW w:w="7182" w:type="dxa"/>
            <w:gridSpan w:val="4"/>
            <w:tcBorders>
              <w:right w:val="single" w:sz="4" w:space="0" w:color="auto"/>
            </w:tcBorders>
          </w:tcPr>
          <w:p w:rsidR="00AF6CD4" w:rsidRPr="000F7BEA" w:rsidRDefault="00AF6CD4" w:rsidP="00075B6D">
            <w:pPr>
              <w:spacing w:line="320" w:lineRule="exact"/>
              <w:rPr>
                <w:rFonts w:ascii="ＭＳ ゴシック" w:eastAsia="ＭＳ ゴシック" w:hAnsi="ＭＳ ゴシック"/>
                <w:sz w:val="18"/>
              </w:rPr>
            </w:pPr>
            <w:r w:rsidRPr="000F7BEA">
              <w:rPr>
                <w:rFonts w:ascii="ＭＳ ゴシック" w:eastAsia="ＭＳ ゴシック" w:hAnsi="ＭＳ ゴシック" w:hint="eastAsia"/>
                <w:sz w:val="18"/>
              </w:rPr>
              <w:t>自然換気口によっては十分な換気が行えないものにあっては、機械式換気設備が設けられていること。</w:t>
            </w:r>
          </w:p>
        </w:tc>
        <w:tc>
          <w:tcPr>
            <w:tcW w:w="425" w:type="dxa"/>
            <w:tcBorders>
              <w:left w:val="single" w:sz="4"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left w:val="single" w:sz="4"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rPr>
          <w:trHeight w:val="323"/>
        </w:trPr>
        <w:tc>
          <w:tcPr>
            <w:tcW w:w="397" w:type="dxa"/>
            <w:vMerge/>
            <w:tcBorders>
              <w:left w:val="single" w:sz="12" w:space="0" w:color="auto"/>
              <w:bottom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p>
        </w:tc>
        <w:tc>
          <w:tcPr>
            <w:tcW w:w="486" w:type="dxa"/>
            <w:tcBorders>
              <w:bottom w:val="single" w:sz="12" w:space="0" w:color="auto"/>
            </w:tcBorders>
          </w:tcPr>
          <w:p w:rsidR="00AF6CD4" w:rsidRPr="000F7BEA"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c>
          <w:tcPr>
            <w:tcW w:w="7182" w:type="dxa"/>
            <w:gridSpan w:val="4"/>
            <w:tcBorders>
              <w:bottom w:val="single" w:sz="12" w:space="0" w:color="auto"/>
              <w:right w:val="single" w:sz="4" w:space="0" w:color="auto"/>
            </w:tcBorders>
          </w:tcPr>
          <w:p w:rsidR="00AF6CD4" w:rsidRPr="000F7BEA" w:rsidRDefault="00AF6CD4" w:rsidP="00075B6D">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換気口には、金網、金属製がらり</w:t>
            </w:r>
            <w:r w:rsidRPr="000F7BEA">
              <w:rPr>
                <w:rFonts w:ascii="ＭＳ ゴシック" w:eastAsia="ＭＳ ゴシック" w:hAnsi="ＭＳ ゴシック" w:hint="eastAsia"/>
                <w:sz w:val="18"/>
              </w:rPr>
              <w:t>、防火ダンパーを設ける等の防火措置が講じられていること。</w:t>
            </w:r>
          </w:p>
        </w:tc>
        <w:tc>
          <w:tcPr>
            <w:tcW w:w="425" w:type="dxa"/>
            <w:tcBorders>
              <w:left w:val="single" w:sz="4" w:space="0" w:color="auto"/>
              <w:bottom w:val="single" w:sz="12" w:space="0" w:color="auto"/>
              <w:right w:val="single" w:sz="4" w:space="0" w:color="auto"/>
              <w:tl2br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left w:val="single" w:sz="4" w:space="0" w:color="auto"/>
              <w:bottom w:val="single" w:sz="12"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AF6CD4" w:rsidTr="007746DF">
        <w:tc>
          <w:tcPr>
            <w:tcW w:w="397" w:type="dxa"/>
            <w:tcBorders>
              <w:top w:val="single" w:sz="12" w:space="0" w:color="auto"/>
              <w:left w:val="single" w:sz="12" w:space="0" w:color="auto"/>
              <w:bottom w:val="single" w:sz="12" w:space="0" w:color="auto"/>
            </w:tcBorders>
            <w:vAlign w:val="center"/>
          </w:tcPr>
          <w:p w:rsidR="00AF6CD4" w:rsidRDefault="00AF6CD4"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10</w:t>
            </w:r>
          </w:p>
        </w:tc>
        <w:tc>
          <w:tcPr>
            <w:tcW w:w="7668" w:type="dxa"/>
            <w:gridSpan w:val="5"/>
            <w:tcBorders>
              <w:top w:val="single" w:sz="12" w:space="0" w:color="auto"/>
              <w:bottom w:val="single" w:sz="12" w:space="0" w:color="auto"/>
              <w:right w:val="single" w:sz="4" w:space="0" w:color="auto"/>
            </w:tcBorders>
          </w:tcPr>
          <w:p w:rsidR="00AF6CD4" w:rsidRPr="0041253B" w:rsidRDefault="00AF6CD4" w:rsidP="00075B6D">
            <w:pPr>
              <w:spacing w:line="320" w:lineRule="exact"/>
              <w:rPr>
                <w:rFonts w:ascii="ＭＳ ゴシック" w:eastAsia="ＭＳ ゴシック" w:hAnsi="ＭＳ ゴシック"/>
                <w:sz w:val="18"/>
              </w:rPr>
            </w:pPr>
            <w:r w:rsidRPr="00C30FFF">
              <w:rPr>
                <w:rFonts w:ascii="ＭＳ ゴシック" w:eastAsia="ＭＳ ゴシック" w:hAnsi="ＭＳ ゴシック" w:hint="eastAsia"/>
                <w:sz w:val="18"/>
              </w:rPr>
              <w:t>外箱には、直径</w:t>
            </w:r>
            <w:r>
              <w:rPr>
                <w:rFonts w:ascii="ＭＳ ゴシック" w:eastAsia="ＭＳ ゴシック" w:hAnsi="ＭＳ ゴシック"/>
                <w:sz w:val="18"/>
              </w:rPr>
              <w:t>10</w:t>
            </w:r>
            <w:r>
              <w:rPr>
                <w:rFonts w:ascii="ＭＳ ゴシック" w:eastAsia="ＭＳ ゴシック" w:hAnsi="ＭＳ ゴシック" w:hint="eastAsia"/>
                <w:sz w:val="18"/>
              </w:rPr>
              <w:t>㎜</w:t>
            </w:r>
            <w:r w:rsidRPr="00C30FFF">
              <w:rPr>
                <w:rFonts w:ascii="ＭＳ ゴシック" w:eastAsia="ＭＳ ゴシック" w:hAnsi="ＭＳ ゴシック"/>
                <w:sz w:val="18"/>
              </w:rPr>
              <w:t>の丸棒が入るような穴又はすき間がないこと。また、配線の引込み口及び引出し口、換気口等も同様とすること。</w:t>
            </w:r>
          </w:p>
        </w:tc>
        <w:tc>
          <w:tcPr>
            <w:tcW w:w="425" w:type="dxa"/>
            <w:tcBorders>
              <w:top w:val="single" w:sz="12" w:space="0" w:color="auto"/>
              <w:left w:val="single" w:sz="4" w:space="0" w:color="auto"/>
              <w:bottom w:val="single" w:sz="12" w:space="0" w:color="auto"/>
              <w:right w:val="single" w:sz="4" w:space="0" w:color="auto"/>
            </w:tcBorders>
          </w:tcPr>
          <w:p w:rsidR="00AF6CD4" w:rsidRDefault="00AF6CD4" w:rsidP="00075B6D">
            <w:pPr>
              <w:spacing w:line="320" w:lineRule="exact"/>
              <w:rPr>
                <w:rFonts w:ascii="ＭＳ ゴシック" w:eastAsia="ＭＳ ゴシック" w:hAnsi="ＭＳ ゴシック"/>
                <w:sz w:val="18"/>
              </w:rPr>
            </w:pPr>
          </w:p>
        </w:tc>
        <w:tc>
          <w:tcPr>
            <w:tcW w:w="851" w:type="dxa"/>
            <w:tcBorders>
              <w:top w:val="single" w:sz="12" w:space="0" w:color="auto"/>
              <w:left w:val="single" w:sz="4" w:space="0" w:color="auto"/>
              <w:bottom w:val="single" w:sz="12" w:space="0" w:color="auto"/>
              <w:right w:val="single" w:sz="12" w:space="0" w:color="auto"/>
            </w:tcBorders>
          </w:tcPr>
          <w:p w:rsidR="00AF6CD4" w:rsidRDefault="00AF6CD4" w:rsidP="00075B6D">
            <w:pPr>
              <w:spacing w:line="320" w:lineRule="exact"/>
              <w:rPr>
                <w:rFonts w:ascii="ＭＳ ゴシック" w:eastAsia="ＭＳ ゴシック" w:hAnsi="ＭＳ ゴシック"/>
                <w:sz w:val="18"/>
              </w:rPr>
            </w:pPr>
          </w:p>
        </w:tc>
      </w:tr>
      <w:tr w:rsidR="007746DF" w:rsidTr="00E86B11">
        <w:trPr>
          <w:trHeight w:val="1631"/>
        </w:trPr>
        <w:tc>
          <w:tcPr>
            <w:tcW w:w="397" w:type="dxa"/>
            <w:tcBorders>
              <w:top w:val="single" w:sz="12" w:space="0" w:color="auto"/>
              <w:left w:val="single" w:sz="12" w:space="0" w:color="auto"/>
              <w:bottom w:val="single" w:sz="12" w:space="0" w:color="auto"/>
            </w:tcBorders>
            <w:vAlign w:val="center"/>
          </w:tcPr>
          <w:p w:rsidR="007746DF" w:rsidRDefault="007746DF" w:rsidP="00075B6D">
            <w:pPr>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c>
          <w:tcPr>
            <w:tcW w:w="8944" w:type="dxa"/>
            <w:gridSpan w:val="7"/>
            <w:tcBorders>
              <w:top w:val="single" w:sz="12" w:space="0" w:color="auto"/>
              <w:bottom w:val="single" w:sz="12" w:space="0" w:color="auto"/>
              <w:right w:val="single" w:sz="12" w:space="0" w:color="auto"/>
            </w:tcBorders>
          </w:tcPr>
          <w:p w:rsidR="007746DF" w:rsidRDefault="007746DF" w:rsidP="00075B6D">
            <w:pPr>
              <w:spacing w:line="320" w:lineRule="exact"/>
              <w:rPr>
                <w:rFonts w:ascii="ＭＳ ゴシック" w:eastAsia="ＭＳ ゴシック" w:hAnsi="ＭＳ ゴシック"/>
                <w:sz w:val="18"/>
              </w:rPr>
            </w:pPr>
            <w:bookmarkStart w:id="0" w:name="_GoBack"/>
            <w:bookmarkEnd w:id="0"/>
          </w:p>
        </w:tc>
      </w:tr>
    </w:tbl>
    <w:p w:rsidR="007011CC" w:rsidRPr="007011CC" w:rsidRDefault="007011CC" w:rsidP="00C715F7">
      <w:pPr>
        <w:rPr>
          <w:rFonts w:ascii="ＭＳ ゴシック" w:eastAsia="ＭＳ ゴシック" w:hAnsi="ＭＳ ゴシック"/>
          <w:sz w:val="18"/>
        </w:rPr>
      </w:pPr>
    </w:p>
    <w:sectPr w:rsidR="007011CC" w:rsidRPr="007011CC" w:rsidSect="00E751BA">
      <w:pgSz w:w="11906" w:h="16838" w:code="9"/>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49" w:rsidRDefault="00101149" w:rsidP="00E7349F">
      <w:r>
        <w:separator/>
      </w:r>
    </w:p>
  </w:endnote>
  <w:endnote w:type="continuationSeparator" w:id="0">
    <w:p w:rsidR="00101149" w:rsidRDefault="00101149" w:rsidP="00E7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49" w:rsidRDefault="00101149" w:rsidP="00E7349F">
      <w:r>
        <w:separator/>
      </w:r>
    </w:p>
  </w:footnote>
  <w:footnote w:type="continuationSeparator" w:id="0">
    <w:p w:rsidR="00101149" w:rsidRDefault="00101149" w:rsidP="00E7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F7"/>
    <w:rsid w:val="0003165E"/>
    <w:rsid w:val="00040270"/>
    <w:rsid w:val="00075B6D"/>
    <w:rsid w:val="000F7BEA"/>
    <w:rsid w:val="00101149"/>
    <w:rsid w:val="002A2588"/>
    <w:rsid w:val="003C3FAD"/>
    <w:rsid w:val="0041253B"/>
    <w:rsid w:val="00661894"/>
    <w:rsid w:val="006A2FF6"/>
    <w:rsid w:val="007011CC"/>
    <w:rsid w:val="007700F1"/>
    <w:rsid w:val="007746DF"/>
    <w:rsid w:val="008D5F45"/>
    <w:rsid w:val="00917CEB"/>
    <w:rsid w:val="00960CA9"/>
    <w:rsid w:val="009C5192"/>
    <w:rsid w:val="00A17BCA"/>
    <w:rsid w:val="00A24938"/>
    <w:rsid w:val="00AF6CD4"/>
    <w:rsid w:val="00C30FFF"/>
    <w:rsid w:val="00C715F7"/>
    <w:rsid w:val="00C91613"/>
    <w:rsid w:val="00CB56AE"/>
    <w:rsid w:val="00CF6A25"/>
    <w:rsid w:val="00D3136C"/>
    <w:rsid w:val="00E5542F"/>
    <w:rsid w:val="00E7349F"/>
    <w:rsid w:val="00E751BA"/>
    <w:rsid w:val="00FA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74F6BD-9AE8-43E2-B9AF-C82DFE68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49F"/>
    <w:pPr>
      <w:tabs>
        <w:tab w:val="center" w:pos="4252"/>
        <w:tab w:val="right" w:pos="8504"/>
      </w:tabs>
      <w:snapToGrid w:val="0"/>
    </w:pPr>
  </w:style>
  <w:style w:type="character" w:customStyle="1" w:styleId="a5">
    <w:name w:val="ヘッダー (文字)"/>
    <w:basedOn w:val="a0"/>
    <w:link w:val="a4"/>
    <w:uiPriority w:val="99"/>
    <w:rsid w:val="00E7349F"/>
  </w:style>
  <w:style w:type="paragraph" w:styleId="a6">
    <w:name w:val="footer"/>
    <w:basedOn w:val="a"/>
    <w:link w:val="a7"/>
    <w:uiPriority w:val="99"/>
    <w:unhideWhenUsed/>
    <w:rsid w:val="00E7349F"/>
    <w:pPr>
      <w:tabs>
        <w:tab w:val="center" w:pos="4252"/>
        <w:tab w:val="right" w:pos="8504"/>
      </w:tabs>
      <w:snapToGrid w:val="0"/>
    </w:pPr>
  </w:style>
  <w:style w:type="character" w:customStyle="1" w:styleId="a7">
    <w:name w:val="フッター (文字)"/>
    <w:basedOn w:val="a0"/>
    <w:link w:val="a6"/>
    <w:uiPriority w:val="99"/>
    <w:rsid w:val="00E7349F"/>
  </w:style>
  <w:style w:type="paragraph" w:styleId="a8">
    <w:name w:val="Balloon Text"/>
    <w:basedOn w:val="a"/>
    <w:link w:val="a9"/>
    <w:uiPriority w:val="99"/>
    <w:semiHidden/>
    <w:unhideWhenUsed/>
    <w:rsid w:val="007746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6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191</Words>
  <Characters>1092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